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2000000">
      <w:pPr>
        <w:widowControl w:val="0"/>
        <w:spacing w:after="200" w:line="240" w:lineRule="auto"/>
        <w:ind/>
        <w:jc w:val="center"/>
        <w:rPr>
          <w:rFonts w:ascii="Times New Roman" w:hAnsi="Times New Roman"/>
          <w:b w:val="1"/>
          <w:spacing w:val="0"/>
          <w:sz w:val="28"/>
        </w:rPr>
      </w:pPr>
      <w:r>
        <w:rPr>
          <w:rFonts w:ascii="Times New Roman" w:hAnsi="Times New Roman"/>
          <w:b w:val="1"/>
          <w:spacing w:val="0"/>
          <w:sz w:val="28"/>
        </w:rPr>
        <w:t>Разъяснены особенности управления многоквартирным домом и обслуживания жилищного фонда</w:t>
      </w:r>
    </w:p>
    <w:p w14:paraId="03000000">
      <w:pPr>
        <w:widowControl w:val="0"/>
        <w:spacing w:after="200" w:line="240" w:lineRule="auto"/>
        <w:ind/>
        <w:jc w:val="both"/>
        <w:rPr>
          <w:rFonts w:ascii="Times New Roman" w:hAnsi="Times New Roman"/>
          <w:spacing w:val="0"/>
          <w:sz w:val="28"/>
        </w:rPr>
      </w:pPr>
      <w:r>
        <w:rPr>
          <w:rFonts w:ascii="Times New Roman" w:hAnsi="Times New Roman"/>
          <w:spacing w:val="0"/>
          <w:sz w:val="28"/>
        </w:rPr>
        <w:t>Письмом Минстроя Российской Федерации от 06.11.2025 № 30829-ОГ/00 «</w:t>
      </w:r>
      <w:r>
        <w:rPr>
          <w:rFonts w:ascii="Times New Roman" w:hAnsi="Times New Roman"/>
          <w:spacing w:val="0"/>
          <w:sz w:val="28"/>
        </w:rPr>
        <w:t xml:space="preserve">О вопросах управления многоквартирным домом и обслуживания жилищного фонда» разъяснены особенности управления многоквартирным домом и обслуживания жилищного фонда. </w:t>
      </w:r>
      <w:r>
        <w:rPr>
          <w:rFonts w:ascii="Times New Roman" w:hAnsi="Times New Roman"/>
          <w:spacing w:val="0"/>
          <w:sz w:val="28"/>
        </w:rPr>
        <w:t xml:space="preserve">В частности, отмечается, что в связи с отнесением работ по санитарной уборке жилищного фонда к минимальному перечню услуг и работ, необходимых для обеспечения надлежащего содержания общего имущества в многоквартирном доме, их выполнение является обязательным при осуществлении деятельности по управлению многоквартирными домами и не требует дополнительного согласования на общем собрании собственников помещений. Указание управляющей организации на отсутствие предусмотренных расходов для выполнения таких работ в составе платы за содержание общего имущества является несостоятельным и не освобождает данное лицо от исполнения обязанности с учетом установленной периодичности вида работ. </w:t>
      </w:r>
      <w:r>
        <w:rPr>
          <w:rFonts w:ascii="Times New Roman" w:hAnsi="Times New Roman"/>
          <w:spacing w:val="0"/>
          <w:sz w:val="28"/>
        </w:rPr>
        <w:t>Надзор за соблюдением юридическими лицами, индивидуальными предпринимателями и гражданами обязательных требований жилищного законодательства осуществляет орган государственного жилищного надзора в соответствии со статьей 20 ЖК РФ. В этой связи по фактам нарушения требований действующего законодательства потребителям услуг рекомендуется обращаться в органы государственного жилищного надзора.</w:t>
      </w:r>
    </w:p>
    <w:p w14:paraId="04000000">
      <w:pPr>
        <w:widowControl w:val="0"/>
        <w:spacing w:after="200" w:line="240" w:lineRule="auto"/>
        <w:ind/>
        <w:jc w:val="center"/>
        <w:rPr>
          <w:rFonts w:ascii="Times New Roman" w:hAnsi="Times New Roman"/>
          <w:spacing w:val="0"/>
          <w:sz w:val="28"/>
        </w:rPr>
      </w:pPr>
      <w:r>
        <w:rPr>
          <w:rFonts w:ascii="Times New Roman" w:hAnsi="Times New Roman"/>
          <w:b w:val="1"/>
          <w:spacing w:val="0"/>
          <w:sz w:val="28"/>
        </w:rPr>
        <w:t xml:space="preserve"> Утверждены единые правила установления необходимости проведения капитального ремонта общего имущества в многоквартирных домах Приказом Министерства строительства и жилищно-коммунального хозяйства Российской Федерации от 22.09.2025 № 569/пр </w:t>
      </w:r>
    </w:p>
    <w:p w14:paraId="05000000">
      <w:pPr>
        <w:widowControl w:val="0"/>
        <w:spacing w:after="200" w:line="240" w:lineRule="auto"/>
        <w:ind/>
        <w:jc w:val="both"/>
        <w:rPr>
          <w:rFonts w:ascii="Times New Roman" w:hAnsi="Times New Roman"/>
          <w:spacing w:val="0"/>
          <w:sz w:val="28"/>
        </w:rPr>
      </w:pPr>
      <w:r>
        <w:rPr>
          <w:rFonts w:ascii="Times New Roman" w:hAnsi="Times New Roman"/>
          <w:spacing w:val="0"/>
          <w:sz w:val="28"/>
        </w:rPr>
        <w:t>С 23.10.2025 введен в действие Свод правил СП 547.1325800.2025 «Здания жилые многоквартирные. Правила установления необходимости проведения капитального ремонта». Теперь сроки проведения капитального ремонта в многоквартирном доме устанавливаются в зависимости от результатов оценки физического износа конструктивных элементов и внутридомовых инженерных систем, которая проводится специализированной организацией посредством визуального обследования их технического состояния, то есть по внешним признакам. В зависимости от присвоенной категории капитальный ремонт подлежит проведению не ранее чем через пять лет (физический износ от 0 % до 30 %), в течение 5 лет (физический износ от 31 % до 50 %) или 3 лет (физический износ от 51 % до 65 %) с момента утверждения заключения о необходимости проведения капитального ремонта. Проведение инструментального обследования технического состояния многоквартирного дома, порядок которого определен межгосударственным стандартом ГОСТ 31937-2024, требуется в случае присвоения конструктивному элементу или внутридомовой инженерной системе значения физического износа более 65 %. Таблицы соотношения повреждений и интервалов значений физического износа по каждому конструктивному элементу и внутридомовой инженерной системе, а также форма заключения о необходимости проведения капитального ремонта приведены в приложениях к Своду правил. Необходимо учитывать, что Свод правил не распространяется на определение необходимости проведения работ по ремонту, замене, модернизации лифтов, ремонту лифтовых шахт, машинных и блочных помещений, ремонту внутридомовых инженерных систем газоснабжения.</w:t>
      </w:r>
    </w:p>
    <w:p w14:paraId="06000000">
      <w:pPr>
        <w:widowControl w:val="0"/>
        <w:spacing w:after="200" w:line="240" w:lineRule="auto"/>
        <w:ind/>
        <w:jc w:val="center"/>
        <w:rPr>
          <w:rFonts w:ascii="Times New Roman" w:hAnsi="Times New Roman"/>
          <w:spacing w:val="0"/>
          <w:sz w:val="28"/>
        </w:rPr>
      </w:pPr>
      <w:r>
        <w:rPr>
          <w:rFonts w:ascii="Times New Roman" w:hAnsi="Times New Roman"/>
          <w:b w:val="1"/>
          <w:spacing w:val="0"/>
          <w:sz w:val="28"/>
        </w:rPr>
        <w:t xml:space="preserve"> Единый срок платы за жилое помещение и коммунальные услуги </w:t>
      </w:r>
    </w:p>
    <w:p w14:paraId="07000000">
      <w:pPr>
        <w:widowControl w:val="0"/>
        <w:spacing w:after="200" w:line="240" w:lineRule="auto"/>
        <w:ind/>
        <w:jc w:val="both"/>
        <w:rPr>
          <w:rFonts w:ascii="Times New Roman" w:hAnsi="Times New Roman"/>
          <w:spacing w:val="0"/>
          <w:sz w:val="28"/>
        </w:rPr>
      </w:pPr>
      <w:r>
        <w:rPr>
          <w:rFonts w:ascii="Times New Roman" w:hAnsi="Times New Roman"/>
          <w:spacing w:val="0"/>
          <w:sz w:val="28"/>
        </w:rPr>
        <w:t>С 01.03.2026 Федеральным законом от 24.06.2025 № 177-ФЗ «О внесении изменений в ст. 155, 171 Жилищного кодекса Российской Федерации и ст. 6, 7 Федерального закона от 21.07.2014 № 209-ФЗ «О государственной информационной системе жилищно-коммунального хозяйства» вводится единый срок внесения платы за жилое помещение и коммунальные услуги – до 15 числа месяца, следующего за истекшим. В настоящее время предельный срок внесения платы согласно общему правилу – до 10 числа следующего месяца. Также законом скорректирован срок направления платежных документов – не позднее 5 числа месяца, следующего за истекшим месяцем. Установленные сроки внесения платы и направления платы, платежных поручений нельзя будет изменить договором управления многоквартирным домом. Также изменены состав, сроки и периодичность размещения информации поставщиками информации в ГИС ЖКХ. В частности, в перечень информации, подлежащей размещению в системе включена информация о лицензиях на предпринимательскую деятельность по управлению многоквартирными домами. Изменен перечень информации, подлежащей размещению в системе региональным оператором капремонта. В числе прочего он дополнен информацией о выбранном собственниками помещений в многоквартирном доме способе формирования фонда капремонта. В перечень информации, подлежащей размещению в системе управляющими компаниями, ТСЖ или кооперативами, управляющими многоквартирным домом, включена информация об операторах связи, сети связи которых размещены на объектах общего имущества в многоквартирном доме.</w:t>
      </w:r>
    </w:p>
    <w:p w14:paraId="08000000">
      <w:pPr>
        <w:widowControl w:val="0"/>
        <w:spacing w:after="0" w:before="0" w:line="240" w:lineRule="auto"/>
        <w:ind w:firstLine="540" w:left="0" w:right="0"/>
        <w:jc w:val="both"/>
        <w:rPr>
          <w:rFonts w:ascii="Times New Roman" w:hAnsi="Times New Roman"/>
          <w:b w:val="0"/>
          <w:color w:val="000000"/>
          <w:spacing w:val="0"/>
          <w:sz w:val="28"/>
          <w:u w:val="none"/>
        </w:rPr>
      </w:pPr>
      <w:r>
        <w:rPr>
          <w:rFonts w:ascii="Times New Roman" w:hAnsi="Times New Roman"/>
          <w:b w:val="1"/>
          <w:color w:val="000000"/>
          <w:spacing w:val="0"/>
          <w:sz w:val="28"/>
          <w:u w:val="none"/>
        </w:rPr>
        <w:t xml:space="preserve"> Специальная оценка условий труда и обучение по охране труда: Минтруд станет информировать работников через Госуслуги</w:t>
      </w:r>
    </w:p>
    <w:p w14:paraId="09000000">
      <w:pPr>
        <w:widowControl w:val="0"/>
        <w:spacing w:after="0" w:before="168" w:line="240" w:lineRule="auto"/>
        <w:ind w:firstLine="540" w:left="0" w:right="0"/>
        <w:jc w:val="both"/>
        <w:rPr>
          <w:rFonts w:ascii="Times New Roman" w:hAnsi="Times New Roman"/>
          <w:b w:val="0"/>
          <w:color w:val="000000"/>
          <w:spacing w:val="0"/>
          <w:sz w:val="28"/>
          <w:u w:val="none"/>
        </w:rPr>
      </w:pPr>
      <w:r>
        <w:rPr>
          <w:rFonts w:ascii="Times New Roman" w:hAnsi="Times New Roman"/>
          <w:b w:val="0"/>
          <w:color w:val="000000"/>
          <w:spacing w:val="0"/>
          <w:sz w:val="28"/>
          <w:u w:val="none"/>
        </w:rPr>
        <w:t>В соответствии с приказом Минтруда России от 07.10.2025 № 599н «</w:t>
      </w:r>
      <w:r>
        <w:rPr>
          <w:rFonts w:ascii="Times New Roman" w:hAnsi="Times New Roman"/>
          <w:b w:val="0"/>
          <w:color w:val="000000"/>
          <w:spacing w:val="0"/>
          <w:sz w:val="28"/>
          <w:u w:val="none"/>
        </w:rPr>
        <w:t xml:space="preserve">О внесении изменений в формы (способы) информирования работников об их трудовых правах, включая право на безопасные условия и охрану труда, утвержденные приказом Министерства труда и социальной защиты Российской Федерации от 29 октября 2021 г. № 773н» </w:t>
      </w:r>
      <w:r>
        <w:rPr>
          <w:rFonts w:ascii="Times New Roman" w:hAnsi="Times New Roman"/>
          <w:b w:val="0"/>
          <w:color w:val="000000"/>
          <w:spacing w:val="0"/>
          <w:sz w:val="28"/>
          <w:u w:val="none"/>
        </w:rPr>
        <w:t>с 21.11.2025 персонал сможет получать сведения о проведении спецоценки условий труда и прохождении обучения по охране труда новым способом. Минтруд</w:t>
      </w:r>
      <w:r>
        <w:rPr>
          <w:rFonts w:ascii="Times New Roman" w:hAnsi="Times New Roman"/>
          <w:b w:val="0"/>
          <w:color w:val="000000"/>
          <w:spacing w:val="0"/>
          <w:sz w:val="28"/>
          <w:u w:val="none"/>
        </w:rPr>
        <w:t xml:space="preserve"> </w:t>
      </w:r>
      <w:r>
        <w:rPr>
          <w:rFonts w:ascii="Times New Roman" w:hAnsi="Times New Roman"/>
          <w:b w:val="0"/>
          <w:strike w:val="0"/>
          <w:color w:val="000000"/>
          <w:spacing w:val="0"/>
          <w:sz w:val="28"/>
          <w:u w:color="000000" w:val="none"/>
        </w:rPr>
        <w:t>станет направлять информацию</w:t>
      </w:r>
      <w:r>
        <w:rPr>
          <w:rFonts w:ascii="Times New Roman" w:hAnsi="Times New Roman"/>
          <w:b w:val="0"/>
          <w:color w:val="000000"/>
          <w:spacing w:val="0"/>
          <w:sz w:val="28"/>
          <w:u w:val="none"/>
        </w:rPr>
        <w:t xml:space="preserve"> </w:t>
      </w:r>
      <w:r>
        <w:rPr>
          <w:rFonts w:ascii="Times New Roman" w:hAnsi="Times New Roman"/>
          <w:b w:val="0"/>
          <w:color w:val="000000"/>
          <w:spacing w:val="0"/>
          <w:sz w:val="28"/>
          <w:u w:val="none"/>
        </w:rPr>
        <w:t>сотрудникам (в том числе проактивно) в их личные кабинеты на Госуслугах. При этом на работодателе остается обязанность по ознакомлению с результатами специальной оценки условий труда</w:t>
      </w:r>
      <w:r>
        <w:rPr>
          <w:rFonts w:ascii="Times New Roman" w:hAnsi="Times New Roman"/>
          <w:b w:val="0"/>
          <w:color w:val="000000"/>
          <w:spacing w:val="0"/>
          <w:sz w:val="28"/>
          <w:u w:val="none"/>
        </w:rPr>
        <w:t xml:space="preserve"> под подпись в течение 30 календарных дней с даты утверждения отчета.</w:t>
      </w:r>
    </w:p>
    <w:p w14:paraId="0A000000">
      <w:pPr>
        <w:widowControl w:val="0"/>
        <w:spacing w:after="200" w:line="240" w:lineRule="auto"/>
        <w:ind/>
        <w:jc w:val="both"/>
        <w:rPr>
          <w:rFonts w:ascii="Times New Roman" w:hAnsi="Times New Roman"/>
          <w:spacing w:val="0"/>
          <w:sz w:val="28"/>
        </w:rPr>
      </w:pPr>
    </w:p>
    <w:p w14:paraId="0B000000">
      <w:pPr>
        <w:widowControl w:val="0"/>
        <w:spacing w:after="0" w:before="0" w:line="240" w:lineRule="auto"/>
        <w:ind w:firstLine="540" w:left="0" w:right="0"/>
        <w:jc w:val="center"/>
        <w:rPr>
          <w:rFonts w:ascii="Times New Roman" w:hAnsi="Times New Roman"/>
          <w:b w:val="0"/>
          <w:color w:val="000000"/>
          <w:spacing w:val="0"/>
          <w:sz w:val="28"/>
          <w:u w:val="none"/>
        </w:rPr>
      </w:pPr>
      <w:r>
        <w:rPr>
          <w:rFonts w:ascii="Times New Roman" w:hAnsi="Times New Roman"/>
          <w:b w:val="1"/>
          <w:color w:val="000000"/>
          <w:spacing w:val="0"/>
          <w:sz w:val="28"/>
          <w:u w:val="none"/>
        </w:rPr>
        <w:t xml:space="preserve"> </w:t>
      </w:r>
      <w:r>
        <w:rPr>
          <w:rFonts w:ascii="Times New Roman" w:hAnsi="Times New Roman"/>
          <w:b w:val="1"/>
          <w:color w:val="000000"/>
          <w:spacing w:val="0"/>
          <w:sz w:val="28"/>
          <w:u w:val="none"/>
        </w:rPr>
        <w:t>Обязательные профилактические визиты: утверждена периодичность их проведения на многих предприятиях</w:t>
      </w:r>
    </w:p>
    <w:p w14:paraId="0C000000">
      <w:pPr>
        <w:widowControl w:val="0"/>
        <w:spacing w:after="0" w:before="0" w:line="240" w:lineRule="auto"/>
        <w:ind w:firstLine="540" w:left="0" w:right="0"/>
        <w:jc w:val="both"/>
        <w:rPr>
          <w:rFonts w:ascii="Times New Roman" w:hAnsi="Times New Roman"/>
          <w:b w:val="0"/>
          <w:color w:val="000000"/>
          <w:spacing w:val="0"/>
          <w:sz w:val="28"/>
          <w:u w:val="none"/>
        </w:rPr>
      </w:pPr>
      <w:r>
        <w:rPr>
          <w:rFonts w:ascii="Times New Roman" w:hAnsi="Times New Roman"/>
          <w:color w:val="000000"/>
          <w:spacing w:val="0"/>
          <w:sz w:val="28"/>
          <w:u w:val="none"/>
        </w:rPr>
        <w:br/>
      </w:r>
      <w:r>
        <w:rPr>
          <w:rFonts w:ascii="Times New Roman" w:hAnsi="Times New Roman"/>
          <w:b w:val="0"/>
          <w:color w:val="000000"/>
          <w:spacing w:val="0"/>
          <w:sz w:val="28"/>
          <w:u w:val="none"/>
        </w:rPr>
        <w:t xml:space="preserve">С 14.10.2025 надзорные органы должны соблюдать общую для разных видов контроля максимальную периодичность проведения визитов на объектах трех категорий риска и двух классов производственной опасности: </w:t>
      </w:r>
      <w:r>
        <w:rPr>
          <w:rFonts w:ascii="Times New Roman" w:hAnsi="Times New Roman"/>
          <w:b w:val="0"/>
          <w:color w:val="000000"/>
          <w:spacing w:val="0"/>
          <w:sz w:val="28"/>
          <w:u w:val="none"/>
        </w:rPr>
        <w:t xml:space="preserve"> значительный риск и III класс опасности -</w:t>
      </w:r>
      <w:r>
        <w:rPr>
          <w:rFonts w:ascii="Times New Roman" w:hAnsi="Times New Roman"/>
          <w:b w:val="0"/>
          <w:color w:val="000000"/>
          <w:spacing w:val="0"/>
          <w:sz w:val="28"/>
          <w:u w:val="none"/>
        </w:rPr>
        <w:t xml:space="preserve"> </w:t>
      </w:r>
      <w:r>
        <w:rPr>
          <w:rFonts w:ascii="Times New Roman" w:hAnsi="Times New Roman"/>
          <w:b w:val="0"/>
          <w:strike w:val="0"/>
          <w:color w:val="000000"/>
          <w:spacing w:val="0"/>
          <w:sz w:val="28"/>
          <w:u w:color="000000" w:val="none"/>
        </w:rPr>
        <w:t>раз в 3 года</w:t>
      </w:r>
      <w:r>
        <w:rPr>
          <w:rFonts w:ascii="Times New Roman" w:hAnsi="Times New Roman"/>
          <w:b w:val="0"/>
          <w:color w:val="000000"/>
          <w:spacing w:val="0"/>
          <w:sz w:val="28"/>
          <w:u w:val="none"/>
        </w:rPr>
        <w:t>;</w:t>
      </w:r>
      <w:r>
        <w:rPr>
          <w:rFonts w:ascii="Times New Roman" w:hAnsi="Times New Roman"/>
          <w:b w:val="0"/>
          <w:color w:val="000000"/>
          <w:spacing w:val="0"/>
          <w:sz w:val="28"/>
          <w:u w:val="none"/>
        </w:rPr>
        <w:t xml:space="preserve"> средний риск и IV класс опасности -</w:t>
      </w:r>
      <w:r>
        <w:rPr>
          <w:rFonts w:ascii="Times New Roman" w:hAnsi="Times New Roman"/>
          <w:b w:val="0"/>
          <w:color w:val="000000"/>
          <w:spacing w:val="0"/>
          <w:sz w:val="28"/>
          <w:u w:val="none"/>
        </w:rPr>
        <w:t xml:space="preserve"> </w:t>
      </w:r>
      <w:r>
        <w:rPr>
          <w:rFonts w:ascii="Times New Roman" w:hAnsi="Times New Roman"/>
          <w:b w:val="0"/>
          <w:strike w:val="0"/>
          <w:color w:val="000000"/>
          <w:spacing w:val="0"/>
          <w:sz w:val="28"/>
          <w:u w:color="000000" w:val="none"/>
        </w:rPr>
        <w:t>раз в 5 лет</w:t>
      </w:r>
      <w:r>
        <w:rPr>
          <w:rFonts w:ascii="Times New Roman" w:hAnsi="Times New Roman"/>
          <w:b w:val="0"/>
          <w:color w:val="000000"/>
          <w:spacing w:val="0"/>
          <w:sz w:val="28"/>
          <w:u w:val="none"/>
        </w:rPr>
        <w:t>;</w:t>
      </w:r>
      <w:r>
        <w:rPr>
          <w:rFonts w:ascii="Times New Roman" w:hAnsi="Times New Roman"/>
          <w:b w:val="0"/>
          <w:color w:val="000000"/>
          <w:spacing w:val="0"/>
          <w:sz w:val="28"/>
          <w:u w:val="none"/>
        </w:rPr>
        <w:t xml:space="preserve"> умеренный риск -</w:t>
      </w:r>
      <w:r>
        <w:rPr>
          <w:rFonts w:ascii="Times New Roman" w:hAnsi="Times New Roman"/>
          <w:b w:val="0"/>
          <w:color w:val="000000"/>
          <w:spacing w:val="0"/>
          <w:sz w:val="28"/>
          <w:u w:val="none"/>
        </w:rPr>
        <w:t xml:space="preserve"> </w:t>
      </w:r>
      <w:r>
        <w:rPr>
          <w:rFonts w:ascii="Times New Roman" w:hAnsi="Times New Roman"/>
          <w:b w:val="0"/>
          <w:strike w:val="0"/>
          <w:color w:val="000000"/>
          <w:spacing w:val="0"/>
          <w:sz w:val="28"/>
          <w:u w:color="000000" w:val="none"/>
        </w:rPr>
        <w:t>раз в 6 лет</w:t>
      </w:r>
      <w:r>
        <w:rPr>
          <w:rFonts w:ascii="Times New Roman" w:hAnsi="Times New Roman"/>
          <w:b w:val="0"/>
          <w:color w:val="000000"/>
          <w:spacing w:val="0"/>
          <w:sz w:val="28"/>
          <w:u w:val="none"/>
        </w:rPr>
        <w:t xml:space="preserve">. </w:t>
      </w:r>
      <w:r>
        <w:rPr>
          <w:rFonts w:ascii="Times New Roman" w:hAnsi="Times New Roman"/>
          <w:b w:val="0"/>
          <w:color w:val="000000"/>
          <w:spacing w:val="0"/>
          <w:sz w:val="28"/>
          <w:u w:val="none"/>
        </w:rPr>
        <w:t>Сроки</w:t>
      </w:r>
      <w:r>
        <w:rPr>
          <w:rFonts w:ascii="Times New Roman" w:hAnsi="Times New Roman"/>
          <w:b w:val="0"/>
          <w:color w:val="000000"/>
          <w:spacing w:val="0"/>
          <w:sz w:val="28"/>
          <w:u w:val="none"/>
        </w:rPr>
        <w:t xml:space="preserve"> </w:t>
      </w:r>
      <w:r>
        <w:rPr>
          <w:rFonts w:ascii="Times New Roman" w:hAnsi="Times New Roman"/>
          <w:b w:val="0"/>
          <w:strike w:val="0"/>
          <w:color w:val="000000"/>
          <w:spacing w:val="0"/>
          <w:sz w:val="28"/>
          <w:u w:color="000000" w:val="none"/>
        </w:rPr>
        <w:t>исчисля</w:t>
      </w:r>
      <w:r>
        <w:rPr>
          <w:rFonts w:ascii="Times New Roman" w:hAnsi="Times New Roman"/>
          <w:b w:val="0"/>
          <w:color w:val="000000"/>
          <w:spacing w:val="0"/>
          <w:sz w:val="28"/>
          <w:u w:val="none"/>
        </w:rPr>
        <w:t xml:space="preserve">ются </w:t>
      </w:r>
      <w:r>
        <w:rPr>
          <w:rFonts w:ascii="Times New Roman" w:hAnsi="Times New Roman"/>
          <w:b w:val="0"/>
          <w:color w:val="000000"/>
          <w:spacing w:val="0"/>
          <w:sz w:val="28"/>
          <w:u w:val="none"/>
        </w:rPr>
        <w:t>с момента, когда орган присвоил объекту категорию риска или класс опасности. Визит, который</w:t>
      </w:r>
      <w:r>
        <w:rPr>
          <w:rFonts w:ascii="Times New Roman" w:hAnsi="Times New Roman"/>
          <w:b w:val="0"/>
          <w:color w:val="000000"/>
          <w:spacing w:val="0"/>
          <w:sz w:val="28"/>
          <w:u w:val="none"/>
        </w:rPr>
        <w:t xml:space="preserve"> </w:t>
      </w:r>
      <w:r>
        <w:rPr>
          <w:rFonts w:ascii="Times New Roman" w:hAnsi="Times New Roman"/>
          <w:b w:val="0"/>
          <w:strike w:val="0"/>
          <w:color w:val="000000"/>
          <w:spacing w:val="0"/>
          <w:sz w:val="28"/>
          <w:u w:color="000000" w:val="none"/>
        </w:rPr>
        <w:t>проводят</w:t>
      </w:r>
      <w:r>
        <w:rPr>
          <w:rFonts w:ascii="Times New Roman" w:hAnsi="Times New Roman"/>
          <w:b w:val="0"/>
          <w:color w:val="000000"/>
          <w:spacing w:val="0"/>
          <w:sz w:val="28"/>
          <w:u w:val="none"/>
        </w:rPr>
        <w:t xml:space="preserve"> </w:t>
      </w:r>
      <w:r>
        <w:rPr>
          <w:rFonts w:ascii="Times New Roman" w:hAnsi="Times New Roman"/>
          <w:b w:val="0"/>
          <w:color w:val="000000"/>
          <w:spacing w:val="0"/>
          <w:sz w:val="28"/>
          <w:u w:val="none"/>
        </w:rPr>
        <w:t xml:space="preserve">по уведомлению о запуске отдельных видов бизнеса, учитывать не станут. </w:t>
      </w:r>
      <w:r>
        <w:rPr>
          <w:rFonts w:ascii="Times New Roman" w:hAnsi="Times New Roman"/>
          <w:b w:val="0"/>
          <w:i w:val="0"/>
          <w:strike w:val="0"/>
          <w:color w:val="000000"/>
          <w:spacing w:val="0"/>
          <w:sz w:val="28"/>
          <w:u w:color="000000" w:val="none"/>
        </w:rPr>
        <w:t>Изменения введены в соответствии с постановлением</w:t>
      </w:r>
      <w:r>
        <w:rPr>
          <w:rFonts w:ascii="Times New Roman" w:hAnsi="Times New Roman"/>
          <w:b w:val="0"/>
          <w:i w:val="0"/>
          <w:color w:val="000000"/>
          <w:spacing w:val="0"/>
          <w:sz w:val="28"/>
          <w:u w:val="none"/>
        </w:rPr>
        <w:t xml:space="preserve"> </w:t>
      </w:r>
      <w:r>
        <w:rPr>
          <w:rFonts w:ascii="Times New Roman" w:hAnsi="Times New Roman"/>
          <w:b w:val="0"/>
          <w:i w:val="0"/>
          <w:color w:val="000000"/>
          <w:spacing w:val="0"/>
          <w:sz w:val="28"/>
          <w:u w:val="none"/>
        </w:rPr>
        <w:t>Правительства Российской Федерации от 01.10.2025 № 1511</w:t>
      </w:r>
      <w:r>
        <w:rPr>
          <w:rFonts w:ascii="Times New Roman" w:hAnsi="Times New Roman"/>
          <w:b w:val="0"/>
          <w:i w:val="0"/>
          <w:color w:val="000000"/>
          <w:spacing w:val="0"/>
          <w:sz w:val="28"/>
          <w:u w:val="none"/>
        </w:rPr>
        <w:t xml:space="preserve"> «О периодичности проведения обязательных профилактических визитов в рамках государственного контроля (надзора), муниципального контроля».</w:t>
      </w:r>
    </w:p>
    <w:p w14:paraId="0D000000">
      <w:pPr>
        <w:widowControl w:val="0"/>
        <w:spacing w:after="0" w:before="0" w:line="240" w:lineRule="auto"/>
        <w:ind w:firstLine="540" w:left="0" w:right="0"/>
        <w:jc w:val="both"/>
        <w:rPr>
          <w:rFonts w:ascii="Times New Roman" w:hAnsi="Times New Roman"/>
          <w:b w:val="0"/>
          <w:color w:val="000000"/>
          <w:spacing w:val="0"/>
          <w:sz w:val="28"/>
          <w:u w:val="none"/>
        </w:rPr>
      </w:pPr>
    </w:p>
    <w:p w14:paraId="0E000000">
      <w:pPr>
        <w:widowControl w:val="0"/>
        <w:spacing w:after="0" w:before="0" w:line="240" w:lineRule="auto"/>
        <w:ind w:firstLine="540" w:left="0" w:right="0"/>
        <w:jc w:val="both"/>
        <w:rPr>
          <w:rFonts w:ascii="Times New Roman" w:hAnsi="Times New Roman"/>
          <w:b w:val="0"/>
          <w:color w:val="000000"/>
          <w:sz w:val="28"/>
          <w:u w:val="none"/>
        </w:rPr>
      </w:pPr>
    </w:p>
    <w:p w14:paraId="0F000000">
      <w:pPr>
        <w:widowControl w:val="0"/>
        <w:spacing w:after="0" w:before="0" w:line="240" w:lineRule="auto"/>
        <w:ind w:firstLine="540" w:left="0" w:right="0"/>
        <w:jc w:val="center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1"/>
          <w:sz w:val="28"/>
        </w:rPr>
        <w:t xml:space="preserve"> С 1 января 2026 года призывать на срочную службу в армию станут круглый год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br/>
      </w:r>
    </w:p>
    <w:p w14:paraId="10000000">
      <w:pPr>
        <w:widowControl w:val="0"/>
        <w:spacing w:after="0" w:before="168" w:line="240" w:lineRule="auto"/>
        <w:ind w:firstLine="540" w:left="0" w:right="0"/>
        <w:jc w:val="both"/>
        <w:rPr>
          <w:rFonts w:ascii="Times New Roman" w:hAnsi="Times New Roman"/>
          <w:b w:val="0"/>
          <w:color w:val="000000"/>
          <w:sz w:val="28"/>
          <w:u w:val="none"/>
        </w:rPr>
      </w:pPr>
      <w:r>
        <w:rPr>
          <w:rFonts w:ascii="Times New Roman" w:hAnsi="Times New Roman"/>
          <w:b w:val="0"/>
          <w:color w:val="000000"/>
          <w:sz w:val="28"/>
          <w:u w:val="none"/>
        </w:rPr>
        <w:t>В соответствии с Федеральным законом от 04.11.2025 № 412-ФЗ «</w:t>
      </w:r>
      <w:r>
        <w:rPr>
          <w:rFonts w:ascii="Times New Roman" w:hAnsi="Times New Roman"/>
          <w:b w:val="0"/>
          <w:color w:val="000000"/>
          <w:sz w:val="28"/>
          <w:u w:val="none"/>
        </w:rPr>
        <w:t>О внесении изменений в Федеральный закон «О воинской обязанности и военной службе» и статью 11 Федерального закона «Об альтернативной гражданской службе» п</w:t>
      </w:r>
      <w:r>
        <w:rPr>
          <w:rFonts w:ascii="Times New Roman" w:hAnsi="Times New Roman"/>
          <w:b w:val="0"/>
          <w:color w:val="000000"/>
          <w:sz w:val="28"/>
          <w:u w:val="none"/>
        </w:rPr>
        <w:t>ризыв на военную службу граждан, не пребывающих в запасе, со следующего года будут проводить</w:t>
      </w:r>
      <w:r>
        <w:rPr>
          <w:rFonts w:ascii="Times New Roman" w:hAnsi="Times New Roman"/>
          <w:b w:val="0"/>
          <w:color w:val="000000"/>
          <w:sz w:val="28"/>
          <w:u w:val="none"/>
        </w:rPr>
        <w:t xml:space="preserve"> </w:t>
      </w:r>
      <w:r>
        <w:rPr>
          <w:rFonts w:ascii="Times New Roman" w:hAnsi="Times New Roman"/>
          <w:b w:val="0"/>
          <w:strike w:val="0"/>
          <w:color w:val="000000"/>
          <w:sz w:val="28"/>
          <w:u w:color="000000" w:val="none"/>
        </w:rPr>
        <w:t>с 1 января по 31 декабря</w:t>
      </w:r>
      <w:r>
        <w:rPr>
          <w:rFonts w:ascii="Times New Roman" w:hAnsi="Times New Roman"/>
          <w:b w:val="0"/>
          <w:color w:val="000000"/>
          <w:sz w:val="28"/>
          <w:u w:val="none"/>
        </w:rPr>
        <w:t>. В течение всего года</w:t>
      </w:r>
      <w:r>
        <w:rPr>
          <w:rFonts w:ascii="Times New Roman" w:hAnsi="Times New Roman"/>
          <w:b w:val="0"/>
          <w:color w:val="000000"/>
          <w:sz w:val="28"/>
          <w:u w:val="none"/>
        </w:rPr>
        <w:t xml:space="preserve"> </w:t>
      </w:r>
      <w:r>
        <w:rPr>
          <w:rFonts w:ascii="Times New Roman" w:hAnsi="Times New Roman"/>
          <w:b w:val="0"/>
          <w:strike w:val="0"/>
          <w:color w:val="000000"/>
          <w:sz w:val="28"/>
          <w:u w:color="000000" w:val="none"/>
        </w:rPr>
        <w:t>смогут вызывать</w:t>
      </w:r>
      <w:r>
        <w:rPr>
          <w:rFonts w:ascii="Times New Roman" w:hAnsi="Times New Roman"/>
          <w:b w:val="0"/>
          <w:color w:val="000000"/>
          <w:sz w:val="28"/>
          <w:u w:val="none"/>
        </w:rPr>
        <w:t xml:space="preserve"> </w:t>
      </w:r>
      <w:r>
        <w:rPr>
          <w:rFonts w:ascii="Times New Roman" w:hAnsi="Times New Roman"/>
          <w:b w:val="0"/>
          <w:color w:val="000000"/>
          <w:sz w:val="28"/>
          <w:u w:val="none"/>
        </w:rPr>
        <w:t xml:space="preserve">на медосвидетельствование, заседания призывной комиссии и пр. Основанием для призыва останутся указы президента. </w:t>
      </w:r>
      <w:r>
        <w:rPr>
          <w:rFonts w:ascii="Times New Roman" w:hAnsi="Times New Roman"/>
          <w:b w:val="0"/>
          <w:strike w:val="0"/>
          <w:color w:val="000000"/>
          <w:sz w:val="28"/>
          <w:u w:color="000000" w:val="none"/>
        </w:rPr>
        <w:t>Отправлять</w:t>
      </w:r>
      <w:r>
        <w:rPr>
          <w:rFonts w:ascii="Times New Roman" w:hAnsi="Times New Roman"/>
          <w:b w:val="0"/>
          <w:color w:val="000000"/>
          <w:sz w:val="28"/>
          <w:u w:val="none"/>
        </w:rPr>
        <w:t xml:space="preserve"> </w:t>
      </w:r>
      <w:r>
        <w:rPr>
          <w:rFonts w:ascii="Times New Roman" w:hAnsi="Times New Roman"/>
          <w:b w:val="0"/>
          <w:color w:val="000000"/>
          <w:sz w:val="28"/>
          <w:u w:val="none"/>
        </w:rPr>
        <w:t xml:space="preserve">к месту службы в большинстве случаев станут с 1 апреля по 15 июля и с 1 октября по 31 декабря. </w:t>
      </w:r>
      <w:r>
        <w:rPr>
          <w:rFonts w:ascii="Times New Roman" w:hAnsi="Times New Roman"/>
          <w:b w:val="0"/>
          <w:color w:val="000000"/>
          <w:sz w:val="28"/>
          <w:u w:val="none"/>
        </w:rPr>
        <w:t>Закрепили так</w:t>
      </w:r>
      <w:r>
        <w:rPr>
          <w:rFonts w:ascii="Times New Roman" w:hAnsi="Times New Roman"/>
          <w:b w:val="0"/>
          <w:color w:val="000000"/>
          <w:sz w:val="28"/>
          <w:u w:val="none"/>
        </w:rPr>
        <w:t>же, что дата явки по повестке</w:t>
      </w:r>
      <w:r>
        <w:rPr>
          <w:rFonts w:ascii="Times New Roman" w:hAnsi="Times New Roman"/>
          <w:b w:val="0"/>
          <w:color w:val="000000"/>
          <w:sz w:val="28"/>
          <w:u w:val="none"/>
        </w:rPr>
        <w:t xml:space="preserve"> </w:t>
      </w:r>
      <w:r>
        <w:rPr>
          <w:rFonts w:ascii="Times New Roman" w:hAnsi="Times New Roman"/>
          <w:b w:val="0"/>
          <w:strike w:val="0"/>
          <w:color w:val="000000"/>
          <w:sz w:val="28"/>
          <w:u w:color="000000" w:val="none"/>
        </w:rPr>
        <w:t>не должна превышать 30 дней</w:t>
      </w:r>
      <w:r>
        <w:rPr>
          <w:rFonts w:ascii="Times New Roman" w:hAnsi="Times New Roman"/>
          <w:b w:val="0"/>
          <w:color w:val="000000"/>
          <w:sz w:val="28"/>
          <w:u w:val="none"/>
        </w:rPr>
        <w:t xml:space="preserve"> </w:t>
      </w:r>
      <w:r>
        <w:rPr>
          <w:rFonts w:ascii="Times New Roman" w:hAnsi="Times New Roman"/>
          <w:b w:val="0"/>
          <w:color w:val="000000"/>
          <w:sz w:val="28"/>
          <w:u w:val="none"/>
        </w:rPr>
        <w:t>с даты ее размещения в</w:t>
      </w:r>
      <w:r>
        <w:rPr>
          <w:rFonts w:ascii="Times New Roman" w:hAnsi="Times New Roman"/>
          <w:b w:val="0"/>
          <w:color w:val="000000"/>
          <w:sz w:val="28"/>
          <w:u w:val="none"/>
        </w:rPr>
        <w:t xml:space="preserve"> </w:t>
      </w:r>
      <w:r>
        <w:rPr>
          <w:rFonts w:ascii="Times New Roman" w:hAnsi="Times New Roman"/>
          <w:b w:val="0"/>
          <w:strike w:val="0"/>
          <w:color w:val="000000"/>
          <w:sz w:val="28"/>
          <w:u w:color="000000" w:val="none"/>
        </w:rPr>
        <w:t>реестре повесток</w:t>
      </w:r>
      <w:r>
        <w:rPr>
          <w:rFonts w:ascii="Times New Roman" w:hAnsi="Times New Roman"/>
          <w:b w:val="0"/>
          <w:color w:val="000000"/>
          <w:sz w:val="28"/>
          <w:u w:val="none"/>
        </w:rPr>
        <w:t xml:space="preserve">. </w:t>
      </w:r>
    </w:p>
    <w:p w14:paraId="11000000">
      <w:pPr>
        <w:widowControl w:val="0"/>
        <w:spacing w:after="0" w:before="168" w:line="240" w:lineRule="auto"/>
        <w:ind w:firstLine="540" w:left="0" w:right="0"/>
        <w:jc w:val="both"/>
        <w:rPr>
          <w:rFonts w:ascii="Times New Roman" w:hAnsi="Times New Roman"/>
          <w:b w:val="0"/>
          <w:color w:val="000000"/>
          <w:sz w:val="28"/>
          <w:u w:val="none"/>
        </w:rPr>
      </w:pPr>
    </w:p>
    <w:p w14:paraId="12000000">
      <w:pPr>
        <w:widowControl w:val="0"/>
        <w:spacing w:after="0" w:before="0" w:line="240" w:lineRule="auto"/>
        <w:ind w:firstLine="540" w:left="0" w:right="0"/>
        <w:jc w:val="both"/>
        <w:rPr>
          <w:rFonts w:ascii="Times New Roman" w:hAnsi="Times New Roman"/>
          <w:b w:val="0"/>
          <w:color w:val="000000"/>
          <w:sz w:val="28"/>
          <w:u w:val="none"/>
        </w:rPr>
      </w:pPr>
      <w:r>
        <w:rPr>
          <w:rFonts w:ascii="Times New Roman" w:hAnsi="Times New Roman"/>
          <w:b w:val="1"/>
          <w:color w:val="000000"/>
          <w:sz w:val="28"/>
          <w:u w:val="none"/>
        </w:rPr>
        <w:t xml:space="preserve"> Об оказании бесплатной юридической помощи гражданам в трудовых спорах.</w:t>
      </w:r>
    </w:p>
    <w:p w14:paraId="13000000">
      <w:pPr>
        <w:widowControl w:val="0"/>
        <w:spacing w:after="0" w:before="0" w:line="240" w:lineRule="auto"/>
        <w:ind w:firstLine="540" w:left="0" w:right="0"/>
        <w:jc w:val="both"/>
        <w:rPr>
          <w:rFonts w:ascii="Times New Roman" w:hAnsi="Times New Roman"/>
          <w:b w:val="0"/>
          <w:color w:val="000000"/>
          <w:sz w:val="28"/>
          <w:u w:val="none"/>
        </w:rPr>
      </w:pPr>
    </w:p>
    <w:p w14:paraId="14000000">
      <w:pPr>
        <w:widowControl w:val="0"/>
        <w:spacing w:after="0" w:before="0" w:line="240" w:lineRule="auto"/>
        <w:ind w:firstLine="540" w:left="0" w:right="0"/>
        <w:jc w:val="both"/>
        <w:rPr>
          <w:rFonts w:ascii="Times New Roman" w:hAnsi="Times New Roman"/>
          <w:b w:val="0"/>
          <w:color w:val="000000"/>
          <w:sz w:val="28"/>
          <w:u w:val="none"/>
        </w:rPr>
      </w:pPr>
      <w:r>
        <w:rPr>
          <w:rFonts w:ascii="Times New Roman" w:hAnsi="Times New Roman"/>
          <w:color w:val="000000"/>
          <w:sz w:val="28"/>
          <w:u w:val="none"/>
        </w:rPr>
        <w:t>В соответствии с Федеральным законом от 04.11.2025 № 407-ФЗ «</w:t>
      </w:r>
      <w:r>
        <w:rPr>
          <w:rFonts w:ascii="Times New Roman" w:hAnsi="Times New Roman"/>
          <w:b w:val="0"/>
          <w:color w:val="000000"/>
          <w:sz w:val="28"/>
          <w:u w:val="none"/>
        </w:rPr>
        <w:t>О внесении изменения в статью 20 Федерального закона «О бесплатной юридической помощи в Российской Федерации» с 15.11.2025 р</w:t>
      </w:r>
      <w:r>
        <w:rPr>
          <w:rFonts w:ascii="Times New Roman" w:hAnsi="Times New Roman"/>
          <w:b w:val="0"/>
          <w:color w:val="000000"/>
          <w:sz w:val="28"/>
          <w:u w:val="none"/>
        </w:rPr>
        <w:t>яду граждан</w:t>
      </w:r>
      <w:r>
        <w:rPr>
          <w:rFonts w:ascii="Times New Roman" w:hAnsi="Times New Roman"/>
          <w:b w:val="0"/>
          <w:strike w:val="0"/>
          <w:color w:val="000000"/>
          <w:sz w:val="28"/>
          <w:u w:color="000000" w:val="none"/>
        </w:rPr>
        <w:t xml:space="preserve"> доступна</w:t>
      </w:r>
      <w:r>
        <w:rPr>
          <w:rFonts w:ascii="Times New Roman" w:hAnsi="Times New Roman"/>
          <w:b w:val="0"/>
          <w:color w:val="000000"/>
          <w:sz w:val="28"/>
          <w:u w:val="none"/>
        </w:rPr>
        <w:t xml:space="preserve"> </w:t>
      </w:r>
      <w:r>
        <w:rPr>
          <w:rFonts w:ascii="Times New Roman" w:hAnsi="Times New Roman"/>
          <w:b w:val="0"/>
          <w:color w:val="000000"/>
          <w:sz w:val="28"/>
          <w:u w:val="none"/>
        </w:rPr>
        <w:t xml:space="preserve">бесплатная юридическая помощь при рассмотрении судами дел: </w:t>
      </w:r>
      <w:r>
        <w:rPr>
          <w:rFonts w:ascii="Times New Roman" w:hAnsi="Times New Roman"/>
          <w:b w:val="0"/>
          <w:color w:val="000000"/>
          <w:sz w:val="28"/>
          <w:u w:val="none"/>
        </w:rPr>
        <w:t>об отказе в заключении трудового договора;</w:t>
      </w:r>
      <w:r>
        <w:rPr>
          <w:rFonts w:ascii="Times New Roman" w:hAnsi="Times New Roman"/>
          <w:b w:val="0"/>
          <w:color w:val="000000"/>
          <w:sz w:val="28"/>
          <w:u w:val="none"/>
        </w:rPr>
        <w:t xml:space="preserve"> восстановлении на работе; </w:t>
      </w:r>
      <w:r>
        <w:rPr>
          <w:rFonts w:ascii="Times New Roman" w:hAnsi="Times New Roman"/>
          <w:b w:val="0"/>
          <w:color w:val="000000"/>
          <w:sz w:val="28"/>
          <w:u w:val="none"/>
        </w:rPr>
        <w:t xml:space="preserve"> взыскании заработка, в том числе за время вынужденного прогула;</w:t>
      </w:r>
      <w:r>
        <w:rPr>
          <w:rFonts w:ascii="Times New Roman" w:hAnsi="Times New Roman"/>
          <w:b w:val="0"/>
          <w:color w:val="000000"/>
          <w:sz w:val="28"/>
          <w:u w:val="none"/>
        </w:rPr>
        <w:t xml:space="preserve"> компенсации морального вреда. </w:t>
      </w:r>
      <w:r>
        <w:rPr>
          <w:rFonts w:ascii="Times New Roman" w:hAnsi="Times New Roman"/>
          <w:b w:val="0"/>
          <w:color w:val="000000"/>
          <w:sz w:val="28"/>
          <w:u w:val="none"/>
        </w:rPr>
        <w:t>На такую помощь</w:t>
      </w:r>
      <w:r>
        <w:rPr>
          <w:rFonts w:ascii="Times New Roman" w:hAnsi="Times New Roman"/>
          <w:b w:val="0"/>
          <w:color w:val="000000"/>
          <w:sz w:val="28"/>
          <w:u w:val="none"/>
        </w:rPr>
        <w:t xml:space="preserve"> </w:t>
      </w:r>
      <w:r>
        <w:rPr>
          <w:rFonts w:ascii="Times New Roman" w:hAnsi="Times New Roman"/>
          <w:b w:val="0"/>
          <w:strike w:val="0"/>
          <w:color w:val="000000"/>
          <w:sz w:val="28"/>
          <w:u w:color="000000" w:val="none"/>
        </w:rPr>
        <w:t>могут рассчитывать</w:t>
      </w:r>
      <w:r>
        <w:rPr>
          <w:rFonts w:ascii="Times New Roman" w:hAnsi="Times New Roman"/>
          <w:b w:val="0"/>
          <w:color w:val="000000"/>
          <w:sz w:val="28"/>
          <w:u w:val="none"/>
        </w:rPr>
        <w:t xml:space="preserve"> </w:t>
      </w:r>
      <w:r>
        <w:rPr>
          <w:rFonts w:ascii="Times New Roman" w:hAnsi="Times New Roman"/>
          <w:b w:val="0"/>
          <w:color w:val="000000"/>
          <w:sz w:val="28"/>
          <w:u w:val="none"/>
        </w:rPr>
        <w:t>истцы, которые относятся в том числе к малоимущим гражданам, а также инвалидам I и II группы.</w:t>
      </w:r>
    </w:p>
    <w:p w14:paraId="15000000">
      <w:pPr>
        <w:widowControl w:val="0"/>
        <w:spacing w:after="0" w:before="0" w:line="240" w:lineRule="auto"/>
        <w:ind w:firstLine="540" w:left="0" w:right="0"/>
        <w:jc w:val="both"/>
        <w:rPr>
          <w:rFonts w:ascii="Times New Roman" w:hAnsi="Times New Roman"/>
          <w:b w:val="0"/>
          <w:color w:val="000000"/>
          <w:sz w:val="28"/>
          <w:u w:val="none"/>
        </w:rPr>
      </w:pPr>
    </w:p>
    <w:p w14:paraId="16000000">
      <w:pPr>
        <w:widowControl w:val="0"/>
        <w:spacing w:after="0" w:before="0" w:line="240" w:lineRule="auto"/>
        <w:ind w:firstLine="540" w:left="0" w:right="0"/>
        <w:jc w:val="both"/>
        <w:rPr>
          <w:rFonts w:ascii="Times New Roman" w:hAnsi="Times New Roman"/>
          <w:b w:val="0"/>
          <w:color w:val="000000"/>
          <w:sz w:val="28"/>
          <w:u w:val="none"/>
        </w:rPr>
      </w:pPr>
      <w:r>
        <w:rPr>
          <w:rFonts w:ascii="Times New Roman" w:hAnsi="Times New Roman"/>
          <w:i w:val="0"/>
          <w:color w:val="000000"/>
          <w:sz w:val="28"/>
          <w:u w:val="none"/>
        </w:rPr>
        <w:t xml:space="preserve"> </w:t>
      </w:r>
      <w:r>
        <w:rPr>
          <w:rFonts w:ascii="Times New Roman" w:hAnsi="Times New Roman"/>
          <w:b w:val="1"/>
          <w:color w:val="000000"/>
          <w:sz w:val="28"/>
          <w:u w:val="none"/>
        </w:rPr>
        <w:t>Организаторы распространения информации в интернете будут хранить данные о пользователях 3 года.</w:t>
      </w:r>
    </w:p>
    <w:p w14:paraId="17000000">
      <w:pPr>
        <w:widowControl w:val="0"/>
        <w:spacing w:after="0" w:before="0" w:line="240" w:lineRule="auto"/>
        <w:ind w:firstLine="540" w:left="0" w:right="0"/>
        <w:jc w:val="both"/>
        <w:rPr>
          <w:rFonts w:ascii="Times New Roman" w:hAnsi="Times New Roman"/>
          <w:b w:val="0"/>
          <w:color w:val="000000"/>
          <w:sz w:val="28"/>
          <w:u w:val="none"/>
        </w:rPr>
      </w:pPr>
      <w:r>
        <w:rPr>
          <w:rFonts w:ascii="Times New Roman" w:hAnsi="Times New Roman"/>
          <w:color w:val="000000"/>
          <w:sz w:val="28"/>
          <w:u w:val="none"/>
        </w:rPr>
        <w:t>В соответствии с постановлением Правительства Российской Федерации от 30.10.2025 № 1698 «</w:t>
      </w:r>
      <w:r>
        <w:rPr>
          <w:rFonts w:ascii="Times New Roman" w:hAnsi="Times New Roman"/>
          <w:b w:val="0"/>
          <w:color w:val="000000"/>
          <w:sz w:val="28"/>
          <w:u w:val="none"/>
        </w:rPr>
        <w:t>О внесении изменения в постановление Правительства Российской Федерации от 23 сентября 2020 г. № 1526», Федеральным законом от 01.04.2025 № 41-ФЗ «</w:t>
      </w:r>
      <w:r>
        <w:rPr>
          <w:rFonts w:ascii="Times New Roman" w:hAnsi="Times New Roman"/>
          <w:b w:val="0"/>
          <w:color w:val="000000"/>
          <w:sz w:val="28"/>
          <w:u w:val="none"/>
        </w:rPr>
        <w:t xml:space="preserve">О создании государственной информационной системы противодействия правонарушениям, совершаемым с использованием информационных и коммуникационных технологий, и о внесении изменений в отдельные законодательные акты Российской Федерации» с 01.01.2026 </w:t>
      </w:r>
      <w:r>
        <w:rPr>
          <w:rFonts w:ascii="Times New Roman" w:hAnsi="Times New Roman"/>
          <w:b w:val="0"/>
          <w:color w:val="000000"/>
          <w:sz w:val="28"/>
          <w:u w:val="none"/>
        </w:rPr>
        <w:t>организаторы распространения информации в интернете</w:t>
      </w:r>
      <w:r>
        <w:rPr>
          <w:rFonts w:ascii="Times New Roman" w:hAnsi="Times New Roman"/>
          <w:b w:val="0"/>
          <w:color w:val="000000"/>
          <w:sz w:val="28"/>
          <w:u w:val="none"/>
        </w:rPr>
        <w:t xml:space="preserve"> </w:t>
      </w:r>
      <w:r>
        <w:rPr>
          <w:rFonts w:ascii="Times New Roman" w:hAnsi="Times New Roman"/>
          <w:b w:val="0"/>
          <w:strike w:val="0"/>
          <w:color w:val="000000"/>
          <w:sz w:val="28"/>
          <w:u w:color="000000" w:val="none"/>
        </w:rPr>
        <w:t>должны хранить</w:t>
      </w:r>
      <w:r>
        <w:rPr>
          <w:rFonts w:ascii="Times New Roman" w:hAnsi="Times New Roman"/>
          <w:b w:val="0"/>
          <w:color w:val="000000"/>
          <w:sz w:val="28"/>
          <w:u w:val="none"/>
        </w:rPr>
        <w:t xml:space="preserve"> </w:t>
      </w:r>
      <w:r>
        <w:rPr>
          <w:rFonts w:ascii="Times New Roman" w:hAnsi="Times New Roman"/>
          <w:b w:val="0"/>
          <w:color w:val="000000"/>
          <w:sz w:val="28"/>
          <w:u w:val="none"/>
        </w:rPr>
        <w:t>на территории РФ сведения о пользователях, фактах их регистрации, авторизации и иных действиях в течение 3 лет с момента окончания таких действий. Сейчас срок хранения информации -</w:t>
      </w:r>
      <w:r>
        <w:rPr>
          <w:rFonts w:ascii="Times New Roman" w:hAnsi="Times New Roman"/>
          <w:b w:val="0"/>
          <w:color w:val="000000"/>
          <w:sz w:val="28"/>
          <w:u w:val="none"/>
        </w:rPr>
        <w:t xml:space="preserve"> </w:t>
      </w:r>
      <w:r>
        <w:rPr>
          <w:rFonts w:ascii="Times New Roman" w:hAnsi="Times New Roman"/>
          <w:b w:val="0"/>
          <w:strike w:val="0"/>
          <w:color w:val="000000"/>
          <w:sz w:val="28"/>
          <w:u w:color="000000" w:val="none"/>
        </w:rPr>
        <w:t>1 год</w:t>
      </w:r>
      <w:r>
        <w:rPr>
          <w:rFonts w:ascii="Times New Roman" w:hAnsi="Times New Roman"/>
          <w:b w:val="0"/>
          <w:color w:val="000000"/>
          <w:sz w:val="28"/>
          <w:u w:val="none"/>
        </w:rPr>
        <w:t xml:space="preserve">. </w:t>
      </w:r>
      <w:r>
        <w:rPr>
          <w:rFonts w:ascii="Times New Roman" w:hAnsi="Times New Roman"/>
          <w:b w:val="0"/>
          <w:color w:val="000000"/>
          <w:sz w:val="28"/>
          <w:u w:val="none"/>
        </w:rPr>
        <w:t>В противном случае организатор рискует получить</w:t>
      </w:r>
      <w:r>
        <w:rPr>
          <w:rFonts w:ascii="Times New Roman" w:hAnsi="Times New Roman"/>
          <w:b w:val="0"/>
          <w:color w:val="000000"/>
          <w:sz w:val="28"/>
          <w:u w:val="none"/>
        </w:rPr>
        <w:t xml:space="preserve"> </w:t>
      </w:r>
      <w:r>
        <w:rPr>
          <w:rFonts w:ascii="Times New Roman" w:hAnsi="Times New Roman"/>
          <w:b w:val="0"/>
          <w:strike w:val="0"/>
          <w:color w:val="000000"/>
          <w:sz w:val="28"/>
          <w:u w:color="000000" w:val="none"/>
        </w:rPr>
        <w:t>уведомление</w:t>
      </w:r>
      <w:r>
        <w:rPr>
          <w:rFonts w:ascii="Times New Roman" w:hAnsi="Times New Roman"/>
          <w:b w:val="0"/>
          <w:color w:val="000000"/>
          <w:sz w:val="28"/>
          <w:u w:val="none"/>
        </w:rPr>
        <w:t xml:space="preserve"> </w:t>
      </w:r>
      <w:r>
        <w:rPr>
          <w:rFonts w:ascii="Times New Roman" w:hAnsi="Times New Roman"/>
          <w:b w:val="0"/>
          <w:color w:val="000000"/>
          <w:sz w:val="28"/>
          <w:u w:val="none"/>
        </w:rPr>
        <w:t>от Роскомнадзора, а при продолжении нарушения -</w:t>
      </w:r>
      <w:r>
        <w:rPr>
          <w:rFonts w:ascii="Times New Roman" w:hAnsi="Times New Roman"/>
          <w:b w:val="0"/>
          <w:color w:val="000000"/>
          <w:sz w:val="28"/>
          <w:u w:val="none"/>
        </w:rPr>
        <w:t xml:space="preserve"> </w:t>
      </w:r>
      <w:r>
        <w:rPr>
          <w:rFonts w:ascii="Times New Roman" w:hAnsi="Times New Roman"/>
          <w:b w:val="0"/>
          <w:strike w:val="0"/>
          <w:color w:val="000000"/>
          <w:sz w:val="28"/>
          <w:u w:color="000000" w:val="none"/>
        </w:rPr>
        <w:t>ограничение</w:t>
      </w:r>
      <w:r>
        <w:rPr>
          <w:rFonts w:ascii="Times New Roman" w:hAnsi="Times New Roman"/>
          <w:b w:val="0"/>
          <w:color w:val="000000"/>
          <w:sz w:val="28"/>
          <w:u w:val="none"/>
        </w:rPr>
        <w:t xml:space="preserve"> </w:t>
      </w:r>
      <w:r>
        <w:rPr>
          <w:rFonts w:ascii="Times New Roman" w:hAnsi="Times New Roman"/>
          <w:b w:val="0"/>
          <w:color w:val="000000"/>
          <w:sz w:val="28"/>
          <w:u w:val="none"/>
        </w:rPr>
        <w:t>доступа к информсистемам и программам.</w:t>
      </w:r>
    </w:p>
    <w:p w14:paraId="18000000">
      <w:pPr>
        <w:widowControl w:val="0"/>
        <w:tabs>
          <w:tab w:leader="none" w:pos="2268" w:val="left"/>
          <w:tab w:leader="none" w:pos="6804" w:val="left"/>
        </w:tabs>
        <w:spacing w:after="0" w:line="240" w:lineRule="auto"/>
        <w:ind/>
        <w:rPr>
          <w:rFonts w:ascii="Times New Roman" w:hAnsi="Times New Roman"/>
          <w:sz w:val="20"/>
        </w:rPr>
      </w:pPr>
    </w:p>
    <w:p w14:paraId="19000000">
      <w:pPr>
        <w:widowControl w:val="0"/>
        <w:spacing w:after="0" w:before="0"/>
        <w:ind w:firstLine="540" w:left="0" w:right="0"/>
        <w:jc w:val="both"/>
        <w:rPr>
          <w:rFonts w:ascii="Times New Roman" w:hAnsi="Times New Roman"/>
          <w:b w:val="0"/>
          <w:color w:val="000000"/>
          <w:sz w:val="28"/>
          <w:u w:val="none"/>
        </w:rPr>
      </w:pPr>
    </w:p>
    <w:sectPr>
      <w:headerReference r:id="rId1" w:type="default"/>
      <w:pgSz w:h="16838" w:orient="portrait" w:w="11906"/>
      <w:pgMar w:bottom="1105" w:footer="551" w:gutter="0" w:header="709" w:left="1418" w:right="567" w:top="993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0"/>
      <w:ind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0"/>
        <w:spacing w:after="160" w:before="0" w:line="264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3" w:type="paragraph">
    <w:name w:val="toc 2"/>
    <w:next w:val="Style_2"/>
    <w:link w:val="Style_3_ch"/>
    <w:uiPriority w:val="39"/>
    <w:pPr>
      <w:widowControl w:val="0"/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widowControl w:val="0"/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2"/>
    <w:link w:val="Style_5_ch"/>
    <w:uiPriority w:val="39"/>
    <w:pPr>
      <w:widowControl w:val="0"/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2"/>
    <w:link w:val="Style_6_ch"/>
    <w:uiPriority w:val="39"/>
    <w:pPr>
      <w:widowControl w:val="0"/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Balloon Text"/>
    <w:basedOn w:val="Style_2"/>
    <w:link w:val="Style_7_ch"/>
    <w:pPr>
      <w:widowControl w:val="0"/>
      <w:spacing w:after="0" w:line="240" w:lineRule="auto"/>
      <w:ind/>
    </w:pPr>
    <w:rPr>
      <w:rFonts w:ascii="Segoe UI" w:hAnsi="Segoe UI"/>
      <w:sz w:val="18"/>
    </w:rPr>
  </w:style>
  <w:style w:styleId="Style_7_ch" w:type="character">
    <w:name w:val="Balloon Text"/>
    <w:basedOn w:val="Style_2_ch"/>
    <w:link w:val="Style_7"/>
    <w:rPr>
      <w:rFonts w:ascii="Segoe UI" w:hAnsi="Segoe UI"/>
      <w:sz w:val="18"/>
    </w:rPr>
  </w:style>
  <w:style w:styleId="Style_8" w:type="paragraph">
    <w:name w:val="Endnote"/>
    <w:link w:val="Style_8_ch"/>
    <w:pPr>
      <w:widowControl w:val="0"/>
      <w:ind w:firstLine="851" w:left="0"/>
      <w:jc w:val="both"/>
    </w:pPr>
    <w:rPr>
      <w:rFonts w:ascii="XO Thames" w:hAnsi="XO Thames"/>
      <w:sz w:val="22"/>
    </w:rPr>
  </w:style>
  <w:style w:styleId="Style_8_ch" w:type="character">
    <w:name w:val="Endnote"/>
    <w:link w:val="Style_8"/>
    <w:rPr>
      <w:rFonts w:ascii="XO Thames" w:hAnsi="XO Thames"/>
      <w:sz w:val="22"/>
    </w:rPr>
  </w:style>
  <w:style w:styleId="Style_9" w:type="paragraph">
    <w:name w:val="heading 3"/>
    <w:next w:val="Style_2"/>
    <w:link w:val="Style_9_ch"/>
    <w:uiPriority w:val="9"/>
    <w:qFormat/>
    <w:pPr>
      <w:widowControl w:val="0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9_ch" w:type="character">
    <w:name w:val="heading 3"/>
    <w:link w:val="Style_9"/>
    <w:rPr>
      <w:rFonts w:ascii="XO Thames" w:hAnsi="XO Thames"/>
      <w:b w:val="1"/>
      <w:sz w:val="26"/>
    </w:rPr>
  </w:style>
  <w:style w:styleId="Style_10" w:type="paragraph">
    <w:name w:val="footnote reference"/>
    <w:basedOn w:val="Style_11"/>
    <w:link w:val="Style_10_ch"/>
    <w:rPr>
      <w:vertAlign w:val="superscript"/>
    </w:rPr>
  </w:style>
  <w:style w:styleId="Style_10_ch" w:type="character">
    <w:name w:val="footnote reference"/>
    <w:basedOn w:val="Style_11_ch"/>
    <w:link w:val="Style_10"/>
    <w:rPr>
      <w:vertAlign w:val="superscript"/>
    </w:rPr>
  </w:style>
  <w:style w:styleId="Style_12" w:type="paragraph">
    <w:name w:val="footer"/>
    <w:basedOn w:val="Style_2"/>
    <w:link w:val="Style_12_ch"/>
    <w:pPr>
      <w:widowControl w:val="0"/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12_ch" w:type="character">
    <w:name w:val="footer"/>
    <w:basedOn w:val="Style_2_ch"/>
    <w:link w:val="Style_12"/>
  </w:style>
  <w:style w:styleId="Style_13" w:type="paragraph">
    <w:name w:val="toc 3"/>
    <w:next w:val="Style_2"/>
    <w:link w:val="Style_13_ch"/>
    <w:uiPriority w:val="39"/>
    <w:pPr>
      <w:widowControl w:val="0"/>
      <w:ind w:firstLine="0" w:left="400"/>
      <w:jc w:val="left"/>
    </w:pPr>
    <w:rPr>
      <w:rFonts w:ascii="XO Thames" w:hAnsi="XO Thames"/>
      <w:sz w:val="28"/>
    </w:rPr>
  </w:style>
  <w:style w:styleId="Style_13_ch" w:type="character">
    <w:name w:val="toc 3"/>
    <w:link w:val="Style_13"/>
    <w:rPr>
      <w:rFonts w:ascii="XO Thames" w:hAnsi="XO Thames"/>
      <w:sz w:val="28"/>
    </w:rPr>
  </w:style>
  <w:style w:styleId="Style_1" w:type="paragraph">
    <w:name w:val="header"/>
    <w:basedOn w:val="Style_2"/>
    <w:link w:val="Style_1_ch"/>
    <w:pPr>
      <w:widowControl w:val="0"/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1_ch" w:type="character">
    <w:name w:val="header"/>
    <w:basedOn w:val="Style_2_ch"/>
    <w:link w:val="Style_1"/>
  </w:style>
  <w:style w:styleId="Style_14" w:type="paragraph">
    <w:name w:val="heading 5"/>
    <w:next w:val="Style_2"/>
    <w:link w:val="Style_14_ch"/>
    <w:uiPriority w:val="9"/>
    <w:qFormat/>
    <w:pPr>
      <w:widowControl w:val="0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4_ch" w:type="character">
    <w:name w:val="heading 5"/>
    <w:link w:val="Style_14"/>
    <w:rPr>
      <w:rFonts w:ascii="XO Thames" w:hAnsi="XO Thames"/>
      <w:b w:val="1"/>
      <w:sz w:val="22"/>
    </w:rPr>
  </w:style>
  <w:style w:styleId="Style_15" w:type="paragraph">
    <w:name w:val="heading 1"/>
    <w:basedOn w:val="Style_2"/>
    <w:link w:val="Style_15_ch"/>
    <w:uiPriority w:val="9"/>
    <w:qFormat/>
    <w:pPr>
      <w:widowControl w:val="0"/>
      <w:spacing w:afterAutospacing="on" w:beforeAutospacing="on" w:line="240" w:lineRule="auto"/>
      <w:ind/>
      <w:outlineLvl w:val="0"/>
    </w:pPr>
    <w:rPr>
      <w:rFonts w:ascii="Times New Roman" w:hAnsi="Times New Roman"/>
      <w:b w:val="1"/>
      <w:sz w:val="48"/>
    </w:rPr>
  </w:style>
  <w:style w:styleId="Style_15_ch" w:type="character">
    <w:name w:val="heading 1"/>
    <w:basedOn w:val="Style_2_ch"/>
    <w:link w:val="Style_15"/>
    <w:rPr>
      <w:rFonts w:ascii="Times New Roman" w:hAnsi="Times New Roman"/>
      <w:b w:val="1"/>
      <w:sz w:val="48"/>
    </w:rPr>
  </w:style>
  <w:style w:styleId="Style_16" w:type="paragraph">
    <w:name w:val="Hyperlink"/>
    <w:basedOn w:val="Style_11"/>
    <w:link w:val="Style_16_ch"/>
    <w:rPr>
      <w:color w:val="0000FF"/>
      <w:u w:val="single"/>
    </w:rPr>
  </w:style>
  <w:style w:styleId="Style_16_ch" w:type="character">
    <w:name w:val="Hyperlink"/>
    <w:basedOn w:val="Style_11_ch"/>
    <w:link w:val="Style_16"/>
    <w:rPr>
      <w:color w:val="0000FF"/>
      <w:u w:val="single"/>
    </w:rPr>
  </w:style>
  <w:style w:styleId="Style_17" w:type="paragraph">
    <w:name w:val="Footnote"/>
    <w:basedOn w:val="Style_2"/>
    <w:link w:val="Style_17_ch"/>
    <w:pPr>
      <w:widowControl w:val="0"/>
      <w:spacing w:after="0" w:line="240" w:lineRule="auto"/>
      <w:ind/>
    </w:pPr>
    <w:rPr>
      <w:sz w:val="20"/>
    </w:rPr>
  </w:style>
  <w:style w:styleId="Style_17_ch" w:type="character">
    <w:name w:val="Footnote"/>
    <w:basedOn w:val="Style_2_ch"/>
    <w:link w:val="Style_17"/>
    <w:rPr>
      <w:sz w:val="20"/>
    </w:rPr>
  </w:style>
  <w:style w:styleId="Style_18" w:type="paragraph">
    <w:name w:val="toc 1"/>
    <w:next w:val="Style_2"/>
    <w:link w:val="Style_18_ch"/>
    <w:uiPriority w:val="39"/>
    <w:pPr>
      <w:widowControl w:val="0"/>
      <w:ind w:firstLine="0" w:left="0"/>
      <w:jc w:val="left"/>
    </w:pPr>
    <w:rPr>
      <w:rFonts w:ascii="XO Thames" w:hAnsi="XO Thames"/>
      <w:b w:val="1"/>
      <w:sz w:val="28"/>
    </w:rPr>
  </w:style>
  <w:style w:styleId="Style_18_ch" w:type="character">
    <w:name w:val="toc 1"/>
    <w:link w:val="Style_18"/>
    <w:rPr>
      <w:rFonts w:ascii="XO Thames" w:hAnsi="XO Thames"/>
      <w:b w:val="1"/>
      <w:sz w:val="28"/>
    </w:rPr>
  </w:style>
  <w:style w:styleId="Style_19" w:type="paragraph">
    <w:name w:val="Header and Footer"/>
    <w:link w:val="Style_19_ch"/>
    <w:pPr>
      <w:widowControl w:val="0"/>
      <w:spacing w:line="240" w:lineRule="auto"/>
      <w:ind/>
      <w:jc w:val="both"/>
    </w:pPr>
    <w:rPr>
      <w:rFonts w:ascii="XO Thames" w:hAnsi="XO Thames"/>
      <w:sz w:val="28"/>
    </w:rPr>
  </w:style>
  <w:style w:styleId="Style_19_ch" w:type="character">
    <w:name w:val="Header and Footer"/>
    <w:link w:val="Style_19"/>
    <w:rPr>
      <w:rFonts w:ascii="XO Thames" w:hAnsi="XO Thames"/>
      <w:sz w:val="28"/>
    </w:rPr>
  </w:style>
  <w:style w:styleId="Style_20" w:type="paragraph">
    <w:name w:val="toc 9"/>
    <w:next w:val="Style_2"/>
    <w:link w:val="Style_20_ch"/>
    <w:uiPriority w:val="39"/>
    <w:pPr>
      <w:widowControl w:val="0"/>
      <w:ind w:firstLine="0" w:left="1600"/>
      <w:jc w:val="left"/>
    </w:pPr>
    <w:rPr>
      <w:rFonts w:ascii="XO Thames" w:hAnsi="XO Thames"/>
      <w:sz w:val="28"/>
    </w:rPr>
  </w:style>
  <w:style w:styleId="Style_20_ch" w:type="character">
    <w:name w:val="toc 9"/>
    <w:link w:val="Style_20"/>
    <w:rPr>
      <w:rFonts w:ascii="XO Thames" w:hAnsi="XO Thames"/>
      <w:sz w:val="28"/>
    </w:rPr>
  </w:style>
  <w:style w:styleId="Style_21" w:type="paragraph">
    <w:name w:val="No Spacing"/>
    <w:link w:val="Style_21_ch"/>
    <w:pPr>
      <w:widowControl w:val="0"/>
      <w:spacing w:after="0" w:line="240" w:lineRule="auto"/>
      <w:ind/>
    </w:pPr>
  </w:style>
  <w:style w:styleId="Style_21_ch" w:type="character">
    <w:name w:val="No Spacing"/>
    <w:link w:val="Style_21"/>
  </w:style>
  <w:style w:styleId="Style_22" w:type="paragraph">
    <w:name w:val="Normal (Web)"/>
    <w:basedOn w:val="Style_2"/>
    <w:link w:val="Style_22_ch"/>
    <w:pPr>
      <w:widowControl w:val="0"/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22_ch" w:type="character">
    <w:name w:val="Normal (Web)"/>
    <w:basedOn w:val="Style_2_ch"/>
    <w:link w:val="Style_22"/>
    <w:rPr>
      <w:rFonts w:ascii="Times New Roman" w:hAnsi="Times New Roman"/>
      <w:sz w:val="24"/>
    </w:rPr>
  </w:style>
  <w:style w:styleId="Style_23" w:type="paragraph">
    <w:name w:val="ConsPlusTitle"/>
    <w:link w:val="Style_23_ch"/>
    <w:pPr>
      <w:widowControl w:val="0"/>
      <w:spacing w:after="0" w:line="240" w:lineRule="auto"/>
      <w:ind/>
    </w:pPr>
    <w:rPr>
      <w:rFonts w:ascii="Arial" w:hAnsi="Arial"/>
      <w:b w:val="1"/>
      <w:sz w:val="24"/>
    </w:rPr>
  </w:style>
  <w:style w:styleId="Style_23_ch" w:type="character">
    <w:name w:val="ConsPlusTitle"/>
    <w:link w:val="Style_23"/>
    <w:rPr>
      <w:rFonts w:ascii="Arial" w:hAnsi="Arial"/>
      <w:b w:val="1"/>
      <w:sz w:val="24"/>
    </w:rPr>
  </w:style>
  <w:style w:styleId="Style_24" w:type="paragraph">
    <w:name w:val="toc 8"/>
    <w:next w:val="Style_2"/>
    <w:link w:val="Style_24_ch"/>
    <w:uiPriority w:val="39"/>
    <w:pPr>
      <w:widowControl w:val="0"/>
      <w:ind w:firstLine="0" w:left="1400"/>
      <w:jc w:val="left"/>
    </w:pPr>
    <w:rPr>
      <w:rFonts w:ascii="XO Thames" w:hAnsi="XO Thames"/>
      <w:sz w:val="28"/>
    </w:rPr>
  </w:style>
  <w:style w:styleId="Style_24_ch" w:type="character">
    <w:name w:val="toc 8"/>
    <w:link w:val="Style_24"/>
    <w:rPr>
      <w:rFonts w:ascii="XO Thames" w:hAnsi="XO Thames"/>
      <w:sz w:val="28"/>
    </w:rPr>
  </w:style>
  <w:style w:styleId="Style_25" w:type="paragraph">
    <w:name w:val="toc 5"/>
    <w:next w:val="Style_2"/>
    <w:link w:val="Style_25_ch"/>
    <w:uiPriority w:val="39"/>
    <w:pPr>
      <w:widowControl w:val="0"/>
      <w:ind w:firstLine="0" w:left="800"/>
      <w:jc w:val="left"/>
    </w:pPr>
    <w:rPr>
      <w:rFonts w:ascii="XO Thames" w:hAnsi="XO Thames"/>
      <w:sz w:val="28"/>
    </w:rPr>
  </w:style>
  <w:style w:styleId="Style_25_ch" w:type="character">
    <w:name w:val="toc 5"/>
    <w:link w:val="Style_25"/>
    <w:rPr>
      <w:rFonts w:ascii="XO Thames" w:hAnsi="XO Thames"/>
      <w:sz w:val="28"/>
    </w:rPr>
  </w:style>
  <w:style w:styleId="Style_11" w:type="paragraph">
    <w:name w:val="Default Paragraph Font"/>
    <w:link w:val="Style_11_ch"/>
  </w:style>
  <w:style w:styleId="Style_11_ch" w:type="character">
    <w:name w:val="Default Paragraph Font"/>
    <w:link w:val="Style_11"/>
  </w:style>
  <w:style w:styleId="Style_26" w:type="paragraph">
    <w:name w:val="Subtitle"/>
    <w:next w:val="Style_2"/>
    <w:link w:val="Style_26_ch"/>
    <w:uiPriority w:val="11"/>
    <w:qFormat/>
    <w:pPr>
      <w:widowControl w:val="0"/>
      <w:ind/>
      <w:jc w:val="both"/>
    </w:pPr>
    <w:rPr>
      <w:rFonts w:ascii="XO Thames" w:hAnsi="XO Thames"/>
      <w:i w:val="1"/>
      <w:sz w:val="24"/>
    </w:rPr>
  </w:style>
  <w:style w:styleId="Style_26_ch" w:type="character">
    <w:name w:val="Subtitle"/>
    <w:link w:val="Style_26"/>
    <w:rPr>
      <w:rFonts w:ascii="XO Thames" w:hAnsi="XO Thames"/>
      <w:i w:val="1"/>
      <w:sz w:val="24"/>
    </w:rPr>
  </w:style>
  <w:style w:styleId="Style_27" w:type="paragraph">
    <w:name w:val="Title"/>
    <w:next w:val="Style_2"/>
    <w:link w:val="Style_27_ch"/>
    <w:uiPriority w:val="10"/>
    <w:qFormat/>
    <w:pPr>
      <w:widowControl w:val="0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7_ch" w:type="character">
    <w:name w:val="Title"/>
    <w:link w:val="Style_27"/>
    <w:rPr>
      <w:rFonts w:ascii="XO Thames" w:hAnsi="XO Thames"/>
      <w:b w:val="1"/>
      <w:caps w:val="1"/>
      <w:sz w:val="40"/>
    </w:rPr>
  </w:style>
  <w:style w:styleId="Style_28" w:type="paragraph">
    <w:name w:val="heading 4"/>
    <w:next w:val="Style_2"/>
    <w:link w:val="Style_28_ch"/>
    <w:uiPriority w:val="9"/>
    <w:qFormat/>
    <w:pPr>
      <w:widowControl w:val="0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8_ch" w:type="character">
    <w:name w:val="heading 4"/>
    <w:link w:val="Style_28"/>
    <w:rPr>
      <w:rFonts w:ascii="XO Thames" w:hAnsi="XO Thames"/>
      <w:b w:val="1"/>
      <w:sz w:val="24"/>
    </w:rPr>
  </w:style>
  <w:style w:styleId="Style_29" w:type="paragraph">
    <w:name w:val="heading 2"/>
    <w:next w:val="Style_2"/>
    <w:link w:val="Style_29_ch"/>
    <w:uiPriority w:val="9"/>
    <w:qFormat/>
    <w:pPr>
      <w:widowControl w:val="0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9_ch" w:type="character">
    <w:name w:val="heading 2"/>
    <w:link w:val="Style_29"/>
    <w:rPr>
      <w:rFonts w:ascii="XO Thames" w:hAnsi="XO Thames"/>
      <w:b w:val="1"/>
      <w:sz w:val="28"/>
    </w:rPr>
  </w:style>
  <w:style w:styleId="Style_30" w:type="paragraph">
    <w:name w:val="ConsPlusNormal"/>
    <w:link w:val="Style_30_ch"/>
    <w:pPr>
      <w:widowControl w:val="0"/>
      <w:spacing w:after="0" w:line="240" w:lineRule="auto"/>
      <w:ind/>
    </w:pPr>
    <w:rPr>
      <w:rFonts w:ascii="Times New Roman" w:hAnsi="Times New Roman"/>
      <w:sz w:val="24"/>
    </w:rPr>
  </w:style>
  <w:style w:styleId="Style_30_ch" w:type="character">
    <w:name w:val="ConsPlusNormal"/>
    <w:link w:val="Style_30"/>
    <w:rPr>
      <w:rFonts w:ascii="Times New Roman" w:hAnsi="Times New Roman"/>
      <w:sz w:val="24"/>
    </w:rPr>
  </w:style>
  <w:style w:default="1" w:styleId="Style_31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webSettings.xml" Type="http://schemas.openxmlformats.org/officeDocument/2006/relationships/webSettings"/>
  <Relationship Id="rId1" Target="header1.xml" Type="http://schemas.openxmlformats.org/officeDocument/2006/relationships/header"/>
  <Relationship Id="rId2" Target="fontTable.xml" Type="http://schemas.openxmlformats.org/officeDocument/2006/relationships/fontTable"/>
  <Relationship Id="rId3" Target="settings.xml" Type="http://schemas.openxmlformats.org/officeDocument/2006/relationships/settings"/>
  <Relationship Id="rId4" Target="styles.xml" Type="http://schemas.openxmlformats.org/officeDocument/2006/relationships/styles"/>
  <Relationship Id="rId7" Target="theme/theme1.xml" Type="http://schemas.openxmlformats.org/officeDocument/2006/relationships/theme"/>
  <Relationship Id="rId5" Target="stylesWithEffects.xml" Type="http://schemas.microsoft.com/office/2007/relationships/stylesWithEffect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2025-12-15T12:25:44Z</dcterms:created>
  <dcterms:modified xsi:type="dcterms:W3CDTF">2025-12-15T12:25:44Z</dcterms:modified>
</cp:coreProperties>
</file>